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5264150" cy="3004185"/>
            <wp:effectExtent l="0" t="0" r="1270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0.0078公顷。其中：贫营养0.0公顷，占总面积的0.0%；贫中营养0.0公顷，占总面积的0.0%；中营养0.0027公顷，占总面积的34.8%；中富营养0.0045公顷，占总面积的57.8%；富营养0.0006公顷，占总面积的7.4%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12C438E0"/>
    <w:rsid w:val="1EDE37F7"/>
    <w:rsid w:val="22EC1E7C"/>
    <w:rsid w:val="251958C3"/>
    <w:rsid w:val="3B40671F"/>
    <w:rsid w:val="428919D0"/>
    <w:rsid w:val="53E96434"/>
    <w:rsid w:val="6763180D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2023-08-04T05:46:17Z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737ACA51CD164B9DAA4A3858D2E3CED7_11</vt:lpwstr>
  </property>
</Properties>
</file>