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490085"/>
            <wp:effectExtent l="0" t="0" r="5080" b="5715"/>
            <wp:docPr id="1" name="图片 1" descr="微信截图_2023080420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804205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1.1523公顷。其中：贫营养0.0公顷，占总面积的0.0%；贫中营养0.0101公顷，占总面积的0.9%；中营养1.1402公顷，占总面积的98.9%；中富营养0.0018公顷，占总面积的0.2%；富营养0.0002公顷，占总面积的0.0%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2023-08-04T13:53:12Z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737ACA51CD164B9DAA4A3858D2E3CED7_11</vt:lpwstr>
  </property>
</Properties>
</file>