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5262245" cy="3561080"/>
            <wp:effectExtent l="0" t="0" r="146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水面面积0.062公顷。其中：贫营养0.0公顷，占总面积的0.0%；贫中营养0.0公顷，占总面积的0.0%；中营养0.0575公顷，占总面积的92.7%；中富营养0.0044公顷，占总面积的7.1%；富营养0.0001公顷，占总面积的0.2%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12C438E0"/>
    <w:rsid w:val="1EDE37F7"/>
    <w:rsid w:val="22EC1E7C"/>
    <w:rsid w:val="251958C3"/>
    <w:rsid w:val="392469E0"/>
    <w:rsid w:val="3B40671F"/>
    <w:rsid w:val="428919D0"/>
    <w:rsid w:val="53E96434"/>
    <w:rsid w:val="5C3A6C1C"/>
    <w:rsid w:val="6763180D"/>
    <w:rsid w:val="7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2023-08-04T05:50:14Z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737ACA51CD164B9DAA4A3858D2E3CED7_11</vt:lpwstr>
  </property>
</Properties>
</file>