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7362825"/>
            <wp:effectExtent l="0" t="0" r="952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47148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0.1834公顷。其中：贫营养0.0043公顷，占总面积的2.4%；贫中营养0.1567公顷，占总面积的85.4%；中营养0.0193公顷，占总面积的10.5%；中富营养0.0029公顷，占总面积的1.6%；富营养0.0002公顷，占总面积的0.1%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EC1E7C"/>
    <w:rsid w:val="251958C3"/>
    <w:rsid w:val="392469E0"/>
    <w:rsid w:val="3B40671F"/>
    <w:rsid w:val="428919D0"/>
    <w:rsid w:val="53E96434"/>
    <w:rsid w:val="5C3A6C1C"/>
    <w:rsid w:val="6763180D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2023-08-04T13:45:11Z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737ACA51CD164B9DAA4A3858D2E3CED7_11</vt:lpwstr>
  </property>
</Properties>
</file>