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040" cy="533082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有效水面面积0.377公顷。其中：贫营养0.0公顷，占总面积的0.0%；贫中营养0.0875公顷，占总面积的23.2%；中营养0.2111公顷，占总面积的56.0%；中富营养0.0703公顷，占总面积的18.7%；富营养0.008公顷，占总面积的2.1%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C496118"/>
    <w:rsid w:val="12C438E0"/>
    <w:rsid w:val="18C32B5D"/>
    <w:rsid w:val="1EDE37F7"/>
    <w:rsid w:val="22EC1E7C"/>
    <w:rsid w:val="251958C3"/>
    <w:rsid w:val="392469E0"/>
    <w:rsid w:val="3B40671F"/>
    <w:rsid w:val="428919D0"/>
    <w:rsid w:val="4D380C0B"/>
    <w:rsid w:val="53E96434"/>
    <w:rsid w:val="54660098"/>
    <w:rsid w:val="5B5B6779"/>
    <w:rsid w:val="5C3A6C1C"/>
    <w:rsid w:val="6763180D"/>
    <w:rsid w:val="68611C15"/>
    <w:rsid w:val="70C7640C"/>
    <w:rsid w:val="763C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2024-03-26T10:00:02Z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737ACA51CD164B9DAA4A3858D2E3CED7_11</vt:lpwstr>
  </property>
</Properties>
</file>