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960" cy="738314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38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有效水面面积0.1984公顷。其中：贫营养0.0公顷，占总面积的0.0%；贫中营养0.0449公顷，占总面积的22.6%；中营养0.1261公顷，占总面积的63.5%；中富营养0.0263公顷，占总面积的13.3%；富营养0.0011公顷，占总面积的0.5%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0C1025E2"/>
    <w:rsid w:val="0C496118"/>
    <w:rsid w:val="12C438E0"/>
    <w:rsid w:val="18C32B5D"/>
    <w:rsid w:val="1EDE37F7"/>
    <w:rsid w:val="22EC1E7C"/>
    <w:rsid w:val="251958C3"/>
    <w:rsid w:val="392469E0"/>
    <w:rsid w:val="3B40671F"/>
    <w:rsid w:val="428919D0"/>
    <w:rsid w:val="4D380C0B"/>
    <w:rsid w:val="53E96434"/>
    <w:rsid w:val="5B5B6779"/>
    <w:rsid w:val="5C3A6C1C"/>
    <w:rsid w:val="5F2F02BB"/>
    <w:rsid w:val="6763180D"/>
    <w:rsid w:val="68611C15"/>
    <w:rsid w:val="70C7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2024-03-26T09:46:50Z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737ACA51CD164B9DAA4A3858D2E3CED7_11</vt:lpwstr>
  </property>
</Properties>
</file>