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4746625"/>
            <wp:effectExtent l="0" t="0" r="825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74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有效水面面积0.5052公顷。其中：贫营养0.0公顷，占总面积的0.0%；贫中营养0.2392公顷，占总面积的47.4%；中营养0.2609公顷，占总面积的51.6%；中富营养0.0047公顷，占总面积的0.9%；富营养0.0003公顷，占总面积的0.1%；重富营养0.0公顷，占总面积的0.0%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0C496118"/>
    <w:rsid w:val="12C438E0"/>
    <w:rsid w:val="18C32B5D"/>
    <w:rsid w:val="1EDE37F7"/>
    <w:rsid w:val="22EC1E7C"/>
    <w:rsid w:val="251958C3"/>
    <w:rsid w:val="392469E0"/>
    <w:rsid w:val="3B40671F"/>
    <w:rsid w:val="428919D0"/>
    <w:rsid w:val="4D380C0B"/>
    <w:rsid w:val="53E96434"/>
    <w:rsid w:val="5B5B6779"/>
    <w:rsid w:val="5C3A6C1C"/>
    <w:rsid w:val="6763180D"/>
    <w:rsid w:val="68611C15"/>
    <w:rsid w:val="70C7640C"/>
    <w:rsid w:val="77E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2024-03-02T03:53:41Z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737ACA51CD164B9DAA4A3858D2E3CED7_11</vt:lpwstr>
  </property>
</Properties>
</file>