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48"/>
          <w:szCs w:val="48"/>
          <w:lang w:val="en-US" w:eastAsia="zh-CN"/>
        </w:rPr>
        <w:t>水体富营养化调查报告</w:t>
      </w:r>
    </w:p>
    <w:p>
      <w:pPr>
        <w:pStyle w:val="2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概述</w:t>
      </w:r>
    </w:p>
    <w:p>
      <w:pPr>
        <w:numPr>
          <w:ilvl w:val="0"/>
          <w:numId w:val="0"/>
        </w:numPr>
        <w:bidi w:val="0"/>
        <w:spacing w:line="360" w:lineRule="auto"/>
        <w:ind w:firstLine="42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水体富营养化是指水体中的溶解性有机物、氮、磷等营养元素含量较高，对水的生态环境有极大的影响，因此，评价水体富营养化的方法非常重要。本文主要介绍了水体富营养化的评价方法，以及采取有效措施来解决水体富营养化问题。</w:t>
      </w:r>
    </w:p>
    <w:p>
      <w:pPr>
        <w:pStyle w:val="2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评价方法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、水体指标:水体富营养化的程度，可以通过检测水体中的溶解性有机物、氮、磷等营养元素的含量来评价。水体中溶解性有机物的含量较高，表明水体对有害微生物的抗性较差，水体中氮、磷含量较高，表明水体富营养化程度较高。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、水质指标:水体富营养化的程度，可以通过检测水质指标，如水温、溶解氧、叶绿素浓度等，来评价。水温较高，表明水体空气温度较高，水体温度较高，对水生态环境的影响较大，水体溶解氧含量低，表明水体中可能存在大量的有机物，叶绿素浓度高，表明水体中可能存在大量的浮游植物，这些指标都可以反映水体富营养化的程度。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目前，判别水体富营养化程度的方法多种多样，主要有常用的方法包括特征法、参数法、营养状态指数法、评分法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物指标评价法、单一因子评价法、模糊评价法等[4]。本文采用的综合营养状态指数法具有指标简单、反应灵敏等特点，且考虑了相关权重的差异，是开展富营养化状态评价工作中较为认可的方法[5]。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各水质评价参数的营养状态指数计算公式为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TLI( Chl.a) = 10× (2.5 +1.08 × ln( Chl.a)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)TLI(TN) = 10× (5.453+ 1.694 ×In(TN)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)TLI(TP)= 10 ×(9.436 + 1.624×In(TP))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TLI( SD) = 10 ×(5.118 - 1.94 × In(SD))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TLI(CODM. ）= 10 ×(0.109 + 2.661 × ln( COD Mn ))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式中:TLl (E)为综合营养状态指数;TLl ( j)为第种水质评价参数的营养状态指数;Wj为第j种水质评价参数的营养状态指数的相关权重;n为评价参数的个数。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以Chl.a为基准参数，则第j种参数的营养状态指数的相关权重Wj的计算公式[2，5]︰式中，rij2为第j种水质评价参数与同基准参数Chl.a的相关系数。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各水质评价参数与Chl.a的相关系数如表4所示。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各水质评价参数的营养状态指数计算公式为[2，4]: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式中:Chl.a单位为mg/m3(也可写作ugL);TP、TN、CODMn的单位均为mglL;SD的单位是m。Chl.a代表叶绿素浓度，TP代表总磷的浓度，TN代表总氮的浓度，SD代表透明度可见度，CODMn代表高锰酸盐浓度。</w:t>
      </w:r>
    </w:p>
    <w:p>
      <w:pPr>
        <w:pStyle w:val="2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调查报告</w:t>
      </w:r>
    </w:p>
    <w:p>
      <w:pPr>
        <w:spacing w:line="360" w:lineRule="auto"/>
        <w:jc w:val="center"/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5268595" cy="5010150"/>
            <wp:effectExtent l="0" t="0" r="825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501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20" w:firstLineChars="200"/>
        <w:jc w:val="both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本次调查有效水面面积1.05公顷。其中：贫营养0.0公顷，占总面积的0.0%；贫中营养0.7279公顷，占总面积的69.3%；中营养0.317公顷，占总面积的30.2%；中富营养0.005公顷，占总面积的0.5%；富营养0.0001公顷，占总面积的0.0%；重富营养0.0公顷，占总面积的0.0%</w:t>
      </w:r>
      <w:bookmarkStart w:id="0" w:name="_GoBack"/>
      <w:bookmarkEnd w:id="0"/>
      <w:r>
        <w:rPr>
          <w:rFonts w:hint="eastAsia"/>
          <w:lang w:val="en-US" w:eastAsia="zh-CN"/>
        </w:rPr>
        <w:t>。</w:t>
      </w:r>
    </w:p>
    <w:p>
      <w:pPr>
        <w:pStyle w:val="2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治理措施</w:t>
      </w:r>
    </w:p>
    <w:p>
      <w:pPr>
        <w:numPr>
          <w:ilvl w:val="0"/>
          <w:numId w:val="2"/>
        </w:num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重点控制农业面源污染:改善农业生产耕作布局，合理灌溉，改进施肥方式，减少农业废水中氮磷的含量，加强数字农作技术。</w:t>
      </w:r>
    </w:p>
    <w:p>
      <w:pPr>
        <w:numPr>
          <w:ilvl w:val="0"/>
          <w:numId w:val="2"/>
        </w:numPr>
        <w:spacing w:line="360" w:lineRule="auto"/>
        <w:ind w:left="0" w:leftChars="0"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加强治理工业废水和生活污水:生活污水应修建与完善下水道系统，以截流输送到污水处理厂进行集中脱氮除磷;工业推行清洁生产，将污染消除于生产过程中，对需外排的废水，采取脱氮除磷处理，达标外排。</w:t>
      </w:r>
    </w:p>
    <w:p>
      <w:pPr>
        <w:numPr>
          <w:ilvl w:val="0"/>
          <w:numId w:val="2"/>
        </w:numPr>
        <w:spacing w:line="360" w:lineRule="auto"/>
        <w:ind w:left="0" w:leftChars="0"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底泥挖掘:富含营养物质的底泥在一定条件下会释放出氮磷，成为水体的内源性污染源，因而底泥挖掘成为富营养化水体治理的重要措施。</w:t>
      </w:r>
    </w:p>
    <w:p>
      <w:pPr>
        <w:numPr>
          <w:ilvl w:val="0"/>
          <w:numId w:val="2"/>
        </w:numPr>
        <w:spacing w:line="360" w:lineRule="auto"/>
        <w:ind w:left="0" w:leftChars="0"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禁用含磷洗涤剂</w:t>
      </w:r>
    </w:p>
    <w:p>
      <w:pPr>
        <w:pStyle w:val="2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总结</w:t>
      </w:r>
    </w:p>
    <w:p>
      <w:pPr>
        <w:spacing w:line="360" w:lineRule="auto"/>
        <w:ind w:firstLine="42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水体富营养化的评价方法是通过检测水体中的溶解性有机物、氮、磷等营养元素的含量和水质指标来评价水体富营养化的程度，采取有效措施，如控制污染源、加强污水处理、改善水体生态环境、合理开发水资源和综合治理措施等，可以有效解决水体富营养化问题。</w:t>
      </w:r>
    </w:p>
    <w:p>
      <w:pPr>
        <w:spacing w:line="360" w:lineRule="auto"/>
        <w:rPr>
          <w:rFonts w:hint="default"/>
          <w:lang w:val="en-US" w:eastAsia="zh-CN"/>
        </w:rPr>
      </w:pPr>
    </w:p>
    <w:sectPr>
      <w:pgSz w:w="11906" w:h="16838"/>
      <w:pgMar w:top="82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F3B6144"/>
    <w:multiLevelType w:val="singleLevel"/>
    <w:tmpl w:val="4F3B614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14513F0"/>
    <w:multiLevelType w:val="singleLevel"/>
    <w:tmpl w:val="514513F0"/>
    <w:lvl w:ilvl="0" w:tentative="0">
      <w:start w:val="1"/>
      <w:numFmt w:val="chineseCounting"/>
      <w:suff w:val="nothing"/>
      <w:lvlText w:val="%1．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4ODI5M2YwNmUzNDE3MzYyODdlZGU3MTNiZDYwYzQifQ=="/>
  </w:docVars>
  <w:rsids>
    <w:rsidRoot w:val="428919D0"/>
    <w:rsid w:val="051E29CD"/>
    <w:rsid w:val="0C496118"/>
    <w:rsid w:val="12C438E0"/>
    <w:rsid w:val="18C32B5D"/>
    <w:rsid w:val="1EDE37F7"/>
    <w:rsid w:val="22EC1E7C"/>
    <w:rsid w:val="251958C3"/>
    <w:rsid w:val="392469E0"/>
    <w:rsid w:val="3B40671F"/>
    <w:rsid w:val="428919D0"/>
    <w:rsid w:val="4D380C0B"/>
    <w:rsid w:val="53E96434"/>
    <w:rsid w:val="5B5B6779"/>
    <w:rsid w:val="5C3A6C1C"/>
    <w:rsid w:val="6763180D"/>
    <w:rsid w:val="68611C15"/>
    <w:rsid w:val="70C7640C"/>
    <w:rsid w:val="7F2E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234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2023-06-01T06:23:00Z</dcterms:created>
  <dc:creator>晚安.</dc:creator>
  <cp:lastModifiedBy>DuRui</cp:lastModifiedBy>
  <dcterms:modified xsi:type="dcterms:W3CDTF">2024-03-02T03:08:13Z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737ACA51CD164B9DAA4A3858D2E3CED7_11</vt:lpwstr>
  </property>
</Properties>
</file>