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960" cy="7551420"/>
            <wp:effectExtent l="0" t="0" r="889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5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0.0483公顷。其中：贫营养0.0公顷，占总面积的0.0%；贫中营养0.0公顷，占总面积的0.0%；中营养0.0099公顷，占总面积的20.5%；中富营养0.0334公顷，占总面积的69.1%；富营养0.005公顷，占总面积的10.4%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12C438E0"/>
    <w:rsid w:val="18C32B5D"/>
    <w:rsid w:val="1EDE37F7"/>
    <w:rsid w:val="22EC1E7C"/>
    <w:rsid w:val="251958C3"/>
    <w:rsid w:val="392469E0"/>
    <w:rsid w:val="3B40671F"/>
    <w:rsid w:val="428919D0"/>
    <w:rsid w:val="4E3103DF"/>
    <w:rsid w:val="50F77AE4"/>
    <w:rsid w:val="53E96434"/>
    <w:rsid w:val="5C3A6C1C"/>
    <w:rsid w:val="6763180D"/>
    <w:rsid w:val="70C7640C"/>
    <w:rsid w:val="71251ABD"/>
    <w:rsid w:val="7393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2023-11-30T03:09:08Z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737ACA51CD164B9DAA4A3858D2E3CED7_11</vt:lpwstr>
  </property>
</Properties>
</file>