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392620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0.0194公顷。其中：贫营养0.0公顷，占总面积的0.0%；贫中营养0.0公顷，占总面积的0.0%；中营养0.0024公顷，占总面积的12.3%；中富营养0.0161公顷，占总面积的82.9%；富营养0.0009公顷，占总面积的4.8%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12C438E0"/>
    <w:rsid w:val="18C32B5D"/>
    <w:rsid w:val="1EDE37F7"/>
    <w:rsid w:val="22995615"/>
    <w:rsid w:val="22EC1E7C"/>
    <w:rsid w:val="251958C3"/>
    <w:rsid w:val="392469E0"/>
    <w:rsid w:val="3B40671F"/>
    <w:rsid w:val="428919D0"/>
    <w:rsid w:val="50F77AE4"/>
    <w:rsid w:val="53E96434"/>
    <w:rsid w:val="5C3A6C1C"/>
    <w:rsid w:val="6763180D"/>
    <w:rsid w:val="67C36364"/>
    <w:rsid w:val="70C7640C"/>
    <w:rsid w:val="712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2023-11-29T09:59:24Z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737ACA51CD164B9DAA4A3858D2E3CED7_11</vt:lpwstr>
  </property>
</Properties>
</file>