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5655310"/>
            <wp:effectExtent l="0" t="0" r="698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0.1805公顷。其中：贫营养0.0公顷，占总面积的0.0%；贫中营养0.0公顷，占总面积的0.0%；中营养0.104公顷，占总面积的57.6%；中富营养0.0735公顷，占总面积的40.7%；富营养0.003公顷，占总面积的1.6%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DF91E0E"/>
    <w:rsid w:val="12C438E0"/>
    <w:rsid w:val="18C32B5D"/>
    <w:rsid w:val="1E1E06BB"/>
    <w:rsid w:val="1EDE37F7"/>
    <w:rsid w:val="22EC1E7C"/>
    <w:rsid w:val="251958C3"/>
    <w:rsid w:val="392469E0"/>
    <w:rsid w:val="3B40671F"/>
    <w:rsid w:val="428919D0"/>
    <w:rsid w:val="4CE65364"/>
    <w:rsid w:val="50F77AE4"/>
    <w:rsid w:val="53E96434"/>
    <w:rsid w:val="5C3A6C1C"/>
    <w:rsid w:val="645273AA"/>
    <w:rsid w:val="6763180D"/>
    <w:rsid w:val="70C7640C"/>
    <w:rsid w:val="712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2023-11-29T09:45:26Z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737ACA51CD164B9DAA4A3858D2E3CED7_11</vt:lpwstr>
  </property>
</Properties>
</file>